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ba0b8ad29542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940 期</w:t>
        </w:r>
      </w:r>
    </w:p>
    <w:p>
      <w:pPr>
        <w:jc w:val="center"/>
      </w:pPr>
      <w:r>
        <w:r>
          <w:rPr>
            <w:rFonts w:ascii="Segoe UI" w:hAnsi="Segoe UI" w:eastAsia="Segoe UI"/>
            <w:sz w:val="32"/>
            <w:color w:val="000000"/>
            <w:b/>
          </w:rPr>
          <w:t>Yearly Academic Evaluation Begins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Xin-yu Wang, Tamkang Times】On September 25th the Office of Quality Assurance and Audit held the 2014-15 Yearly Academic Work Evaluation Meeting in the Chueh-sheng International Conference Hall. Vice President of Academic Affairs, Huan-chao Keh, expressed, “The evaluation of the quality of every position in our university has become increasingly important now that we are dealing with the effects of the baby bust generation. The competition for students has increased and it is necessary that all of our departments undergo an evaluation to ensure the effectiveness of our university.”
</w:t>
          <w:br/>
          <w:t>In 2013 TKU received certification from the Ministry of Education for self evaluation, this time the college of Engineering had applied for IEET certification and the College of Business and Management applied for AACSB certification. It’s expected that the certifications will be verified by the Ministry of Education by June 2016. Director of the Office of Quality Assurance and Audit, Di-ching Pai, expressed, “Our role is to assist and support the evaluation in any way possible to increase the performance ability of all of the departments of the university.”</w:t>
          <w:br/>
        </w:r>
      </w:r>
    </w:p>
    <w:p>
      <w:pPr>
        <w:jc w:val="center"/>
      </w:pPr>
      <w:r>
        <w:r>
          <w:drawing>
            <wp:inline xmlns:wp14="http://schemas.microsoft.com/office/word/2010/wordprocessingDrawing" xmlns:wp="http://schemas.openxmlformats.org/drawingml/2006/wordprocessingDrawing" distT="0" distB="0" distL="0" distR="0" wp14:editId="50D07946">
              <wp:extent cx="2529840" cy="890016"/>
              <wp:effectExtent l="0" t="0" r="0" b="0"/>
              <wp:docPr id="1" name="IMG_e12c27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eb6b5b28-4d74-4c90-86fb-e962b5111041.jpg"/>
                      <pic:cNvPicPr/>
                    </pic:nvPicPr>
                    <pic:blipFill>
                      <a:blip xmlns:r="http://schemas.openxmlformats.org/officeDocument/2006/relationships" r:embed="R2406849698074b1a" cstate="print">
                        <a:extLst>
                          <a:ext uri="{28A0092B-C50C-407E-A947-70E740481C1C}"/>
                        </a:extLst>
                      </a:blip>
                      <a:stretch>
                        <a:fillRect/>
                      </a:stretch>
                    </pic:blipFill>
                    <pic:spPr>
                      <a:xfrm>
                        <a:off x="0" y="0"/>
                        <a:ext cx="2529840" cy="8900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06849698074b1a" /></Relationships>
</file>