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1842bb3cc346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Sustained Development Evaluation of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Qi-zhuo, Tamkang Times】On October 6th the National Meeting of Sustainable Development took place, presenting Sustainable Development Awards for 2014. President Flora Chia-I Chang began the event with a welcoming address, mentioning that she was honored that TKU could be a part of this re-evaluation because of it will play a crucial role in improving the curriculum for the students of the future. She stated, “We are always striving to become a more future-oriented university. TKU was honored with the EPA Award three consecutive times and I am excited to make more improvements through participating in this evaluation. I’m sure it will prove to be very effective.”
</w:t>
          <w:br/>
          <w:t>During the assembly, Dean of General Affairs, Shiaw-shyan Luo, gave a briefing detailing the objective of Sustained Development saying, “This system is more than just a vision of improvement, it is an attitude of continual progress.” He stated that he looks forward to seeking out the weaknesses in the academic program or environment of the campus so that we can become stronger in every necessary area for the benefit of the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82b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bf002ad8-1c19-4b66-a939-d3a04db2abf0.jpg"/>
                      <pic:cNvPicPr/>
                    </pic:nvPicPr>
                    <pic:blipFill>
                      <a:blip xmlns:r="http://schemas.openxmlformats.org/officeDocument/2006/relationships" r:embed="R1fdf76830fcb467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df76830fcb4671" /></Relationships>
</file>