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84f1f39804b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教師多元升等 凝聚共識啟動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人資處於24日在驚聲國際廳舉辦「推動教師多元升等制度政策說明會」，針對本學年推動教師多元升等制度，除了原「學術研究型升等」外，研議新增「教學型」及「技術應用型」2升等機制。學術副校長葛煥昭表示，本學年以意見徵詢、共識形成及法規修正為主要工作，人資處將於本學年舉辦4場多元升等論壇及2場說明會，「希望在原升等法規進行下，讓2新制運作有一致性。此外，多元升等須參考教學卓越計畫等回饋意見，希望能在下個學年開始實施。」
</w:t>
          <w:br/>
          <w:t>　「教學型」升等立基於教學實踐與學生學習成效為主體的教學實務研究成果，作品須與任教學科有關，且經專業刊物、或正式審查程序研討會中公開發表。「技術應用型」範圍則以專利、技術或管理個案研究和產學合作等，對實務有具體貢獻之研發技術成果，且須符合科技部產學計畫，及部份專利技轉金繳校標準。</w:t>
          <w:br/>
        </w:r>
      </w:r>
    </w:p>
  </w:body>
</w:document>
</file>