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1db67ba40641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Conference For Physically Impaired Students Takes Place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Jin-xuan Li, Tamkang Times】Tamkang University’s Center of Resources for Visual Impairment (CRVI)  held the 2014 Annual Junior College Northern Resources for Physically Impaired Student Assistance meeting on December 26th. There were 33 professors in attendance and Executive Director of Hsi-ming Hung, expressed, “This event is a great platform for professors to exchange their personal experience involving students with special needs.”
</w:t>
          <w:br/>
          <w:t>During the assembly, Associate Professor and Counselor, Jing-ren Zheng, covered the issue of the implementation of an examination hall for the physically impaired. He pointed out many curriculum materials need to be fitted so that physically and visually impaired students are able to use the same study resources as other students. He instructed teachers to contact EYE’s visually impaired services for assistance in designing and creating these resources accordingly. 
</w:t>
          <w:br/>
          <w:t>In the afternoon the assembly journeyed to the Hu Wei Fort Coffee Shop and Associate Professor of Taipei Chengshih University of Science and Technology, Guo-yuan Li, lead the professors while instructed them in different skills of communication to overcome possible boundaries. One of the professors stated, “Sometimes communicating with people who don’t fully understand you can be quite frustrating. I’m really grateful for this opportunity to learn from the experience of others.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5a14e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a7c06be3-3734-4919-8f95-3a4722174a95.jpg"/>
                      <pic:cNvPicPr/>
                    </pic:nvPicPr>
                    <pic:blipFill>
                      <a:blip xmlns:r="http://schemas.openxmlformats.org/officeDocument/2006/relationships" r:embed="Rd15cfaac13014f2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5cfaac13014f24" /></Relationships>
</file>