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f4255ce0c94f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955 期</w:t>
        </w:r>
      </w:r>
    </w:p>
    <w:p>
      <w:pPr>
        <w:jc w:val="center"/>
      </w:pPr>
      <w:r>
        <w:r>
          <w:rPr>
            <w:rFonts w:ascii="Segoe UI" w:hAnsi="Segoe UI" w:eastAsia="Segoe UI"/>
            <w:sz w:val="32"/>
            <w:color w:val="000000"/>
            <w:b/>
          </w:rPr>
          <w:t>Taiwanese News Reporters Interview Sheng-hsiung Chang on High Speed Railway</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The high speed railway in Taiwan has become a tool of convenience that Taiwan can no longer do without. In recent years there has been concerns over the high speed transit system due to financial problems. On January 8th news teams from TVBS, ETtoday,  FTVN, NextTV and many others interviewed Professor of the Department of Transportation Management, Sheng-hsiung Chang, to get answers on the current crisis. He stated, “In the unfortunate case that Taiwan’s high speed rail goes bankrupt, it would become the number one focus of the government, bringing the needed attention to fix the root of the problem.”  (Article written by Qi-zhuo, Photographed by Yi-feng Lu)</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9d53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5/m\18083693-2930-406c-abbc-95bafa3fadcb.jpg"/>
                      <pic:cNvPicPr/>
                    </pic:nvPicPr>
                    <pic:blipFill>
                      <a:blip xmlns:r="http://schemas.openxmlformats.org/officeDocument/2006/relationships" r:embed="R04b8e1e7c0084dc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4b8e1e7c0084dc0" /></Relationships>
</file>