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e0a20b15f34a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The Elite Alumni Group and EMBA Hold New Summit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Jin-yu Cai, Tamsui Campus】The Golden Eagle Award winners established the Elite Alumni Group, which partnered with EMBA to hold last year’s Alumni Enterprises Summit.  The two alumni groups once again united to hold another summit on the 28th of last month titled, “The New Trends of the Summit.” Director of the Elite Alumni Group, Ching-nan Chen, expressed that the goal of the summit was for the alumni to have a chance to share information for the purpose of sustainable university development. Vice President of Administration, Yi-jen Hu, stated, “The 24 alumni groups at this university are an invaluable asset. It’s great for them to have an opportunity to communicate and strengthen their relationships.” It was a touching moment as over a hundred alumni came together for the gathering.
</w:t>
          <w:br/>
          <w:t>The Director of EMBA, Jun-jun Huang, began the summit by expressing his thanks to President Flora Chia-I Chang for her vigorous support for all of the alumni activities. Also in attendance was former President Louis R. Chow, Dean of the College of Business and Management, Chien-liang Chiu and also Executive Director of Office of Alumni Services and Resources Development, Chun-perng Young. There were two discussions held simultaneously and in the first room member of the Gao Xiong City Government, Shi-fang Liu, discussed the future of Gao Xiong’s development. He emphasized the need for innovation and specialization in order to draw out the true spirit of culture in the city. In the other room Alumni of the Department of Accounting, Zhan-sheng Chen, discussed online developments and the effects it has on the economy.</w:t>
          <w:br/>
        </w:r>
      </w:r>
    </w:p>
  </w:body>
</w:document>
</file>