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fd64957e589491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966 期</w:t>
        </w:r>
      </w:r>
    </w:p>
    <w:p>
      <w:pPr>
        <w:jc w:val="center"/>
      </w:pPr>
      <w:r>
        <w:r>
          <w:rPr>
            <w:rFonts w:ascii="Segoe UI" w:hAnsi="Segoe UI" w:eastAsia="Segoe UI"/>
            <w:sz w:val="32"/>
            <w:color w:val="000000"/>
            <w:b/>
          </w:rPr>
          <w:t>Third Annual Higher Learning International Academic Research Forum</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【Ya-han Cao, Tamsui Campus Report】The College of Education and the Graduate Institute of Educational Policy and Leadership will be holding the “Third Annual Higher Learning International Academic Research Forum in Chueh-sheng Memorial Hall to discuss Asian educational policies and public finance. In attendance will be Professor from the University of London, Simon Marginson, President of Kurashiki Sakuyo University, Akira Arimoto, Tamkang University President, Flora Chia-I Chang, Dean of the College of Education, Dian-fu Chang, Director of the Graduate Institute of Educational Policy, Hui-ling Pan, and many other related national and international educators.
</w:t>
          <w:br/>
          <w:t>This forum is expected to be significantly larger than the previous ones. Dean Dian-fu Chang stated, “This forum was first held in Japan and then Korea. An internationally-oriented educational system is one of the most prioritized objectives of the university. It’s a great honor to be able to hold this conference on our own campus. With all of these qualified educators it is assured that the meeting will be exceptionally fruitful.”</w:t>
          <w:br/>
        </w:r>
      </w:r>
    </w:p>
  </w:body>
</w:document>
</file>