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21a3e1514640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Tamkang University held the 2015 Miscellaneous Funding Committee Meeting. After meeting it was sent to the Ministry of Education on May 29th.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Tamsui Campus Report】On May 26th Tamkang University held the 2015 Miscellaneous Funding Committee Meeting and Lanyang Campus attended via video conference. In attendance was Vice President of Administration, Yi-jen Hu, Director of the Department of Finance and Applications, Jui-chih Chen, various department heads, and student representatives of 13 different departments. After meeting it was decided by many students that the allocation of funding had to be revised and it was sent to the Ministry of Education on May 29th, but this notion received opposition by students that felt the resolution didn’t need adjusting. 
</w:t>
          <w:br/>
          <w:t>Vice President Yi-jen Hu expressed, “It’s wonderful that we have such opinionated student representatives. This type of conflict will always further improve administration as it is refined through discussion and thorough evaluation. “ Student representative and third-year student of the Department of Public Administration, Chun-ning Zhang, expressed that the Department of Mathematics and the Department of Public Administration could benefit with new resources. Dean of the College of Business and Management, Chien-liang Chiu, responded, “Support still needs to be provided for the AACSB certification which will allow for a lot more internationational student exchanges. This would improve the competitive ability of every student at the university.” (For students interested in viewing the full results of the meeting see link http://www.finance.tku.edu.tw/main.php)</w:t>
          <w:br/>
        </w:r>
      </w:r>
    </w:p>
    <w:p>
      <w:pPr>
        <w:jc w:val="center"/>
      </w:pPr>
      <w:r>
        <w:r>
          <w:drawing>
            <wp:inline xmlns:wp14="http://schemas.microsoft.com/office/word/2010/wordprocessingDrawing" xmlns:wp="http://schemas.openxmlformats.org/drawingml/2006/wordprocessingDrawing" distT="0" distB="0" distL="0" distR="0" wp14:editId="50D07946">
              <wp:extent cx="4876800" cy="2712720"/>
              <wp:effectExtent l="0" t="0" r="0" b="0"/>
              <wp:docPr id="1" name="IMG_dcfcb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81dc23b0-7327-463d-83fa-3545a3b6b3eb.JPG.JPG"/>
                      <pic:cNvPicPr/>
                    </pic:nvPicPr>
                    <pic:blipFill>
                      <a:blip xmlns:r="http://schemas.openxmlformats.org/officeDocument/2006/relationships" r:embed="R4c57329124174588" cstate="print">
                        <a:extLst>
                          <a:ext uri="{28A0092B-C50C-407E-A947-70E740481C1C}"/>
                        </a:extLst>
                      </a:blip>
                      <a:stretch>
                        <a:fillRect/>
                      </a:stretch>
                    </pic:blipFill>
                    <pic:spPr>
                      <a:xfrm>
                        <a:off x="0" y="0"/>
                        <a:ext cx="4876800" cy="2712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57329124174588" /></Relationships>
</file>