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11818de2844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Global Arts Travel Receives Funding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College of Foreign Languages and Literature’s “Global Arts Travel” was approved for funding by the Ministry of Science and Technology and was awarded 3,010,000 NT. The project was put together by Dean of the College of Foreign Languages and Literature, Hsi-deh Wu and Director of the Library, Sheue-fang Song. Because of the effectiveness of the College of Foreign Languages and Literature’s previous programs, they have received a total of 7,99,005,000 NT from the Ministry of Science and Technology since 2013. This subsidy will be used to strengthen the Departments of English, Spanish, French, German and Japanese. 
</w:t>
          <w:br/>
          <w:t>Hsi-deh Wu expressed, “Our contract for this year is focused on travel research to better improve our departments’ global literacy understanding. This project will deepen the knowledge of both student and teachers as our institution reaches further into the direction of internationalized education. In the future the library will hold more books related to international literacy and research.”</w:t>
          <w:br/>
        </w:r>
      </w:r>
    </w:p>
  </w:body>
</w:document>
</file>