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36e459c1a148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2015 Taiwan Development Association for Classroom and Teaching Research</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【Tamkang Times】Graduate Institute of Curriculum and Instruction, Graduate Institute of Educational Policy and Leadership and the Danhai Learning and Development Center jointly held the “2015 Taiwan Development Association for Classroom and Teaching Research” forum. The conference included elementary and junior high teachers along with many educators related to the concept of revolutionary curriculum, totalling to about 300 participants. Also in attendance was General Secretary of Taipei City Government’s Education Bureau, Shun-he Chen, and Director of New Taipei City Government’s Education Bureau in the Department of Research and Development, Chin-shan Liu.
</w:t>
          <w:br/>
          <w:t>During the assembly, special guest speakers emphasized different styles of curriculums and teaching methods that could prove more effective than traditional ideas. Every twenty minutes, the group went into discussion to analyze and respond to the different concepts. There were also many interactive activities that utilized visual aids such as posters and films to illustrate ideas more clearly. Director of the Graduate Institute of Curriculum and Instruction, Li-hua Chen, expressed special thanks for everyone’s collaboration and support as the workshop came to a close. He stated, “I hope that TKU can be a pioneer in the realization of many of these revolutionary methods of instruction.”</w:t>
          <w:br/>
        </w:r>
      </w:r>
    </w:p>
  </w:body>
</w:document>
</file>