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337bf7f70f47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TKU Offers Double-Major Program with Australia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Tamsui Campus Report】The College of Business and Management held the 1st Annual 2015-16 Administration meeting in the Ching-sheng International hall on Sept. 24. There were about 70 people in attendance at the event which was lead by Director of the College of Business and Management, Chien-liang Chiu.  Various department heads were also present including Executive Director of the Executive Master's Program of Business Administration (EMBA), Chun-hung Lin, and Executive Director of the Office for AACSB Accreditation, Ku-jun Lin. 
</w:t>
          <w:br/>
          <w:t>Chien-liang Chiu expressed, “In the future we will strengthen our academic-industry programs in order to strengthen the effectiveness of our students in the career world.” He first reminded teachers that make-up classes must be according to the regulations of the Office of Academic Affairs before outlining the “English International Finance Master’s Executive Program.” “This program is a cooperation of the College of Business and Management with sister school, Queensland University of Technology in Australia.” He stated. “This program uses a shared curriculum and we will be able to utilize international resources, academic professional skills and project planning. Not only will this program raise our university’s global perception, but students that meet all of the required tasks, will be awarded a double major.”  
</w:t>
          <w:br/>
          <w:t>(For questions, see link http://www.management.tku.edu.tw/main.php)</w:t>
          <w:br/>
        </w:r>
      </w:r>
    </w:p>
  </w:body>
</w:document>
</file>