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3364beaace4f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TKU Connects Environmental Protection and Traditional Art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Lanyang Art Club held an event concerning protection of the ecosystem on Oct. 27 in the student dorm, attracting around 50 students and teachers. TKU artist, Shao-keng Lin, spoke on the relationship between ink and the environment. First, he skillfully drew a flower pedal and then had the participants do the same. The theme became clear that nature is the influence of almost all art as they observed works of many Chinese artists on display.  Everyone shared thoughts and ideas of the traditional artistic culture while enjoying tea and conversation. Second year student of the Division of Applied Informatics, Department of Innovative Information and Technology, Wen-zhen Lu, expressed, “I hope this event gives students a chance to understand the beauty of Chinese traditional culture. (Article written by Jia-ling Liu)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963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305f183e-68fd-4fee-b13f-fef4ea1fe134.jpg.jpg"/>
                      <pic:cNvPicPr/>
                    </pic:nvPicPr>
                    <pic:blipFill>
                      <a:blip xmlns:r="http://schemas.openxmlformats.org/officeDocument/2006/relationships" r:embed="R5aa70b6201f9483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a70b6201f9483c" /></Relationships>
</file>