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4e26c572ef4e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Department of Diplomacy and International Relations vs. Charles University had university exchange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Zhou, Tamsui Campus Report】Director of Indonesia’s Bina Nusantara University’s Department of International Relations, Nugraha Mursitama met with Tamkang University’s Department of Diplomacy and International Relations on Nov. 10 for an exchange. Director of the Department of Diplomacy, Chin-mo Cheng, expressed, “Bina Nusantara University feels that our all English taught Diplomacy and International Relations curriculum is very unique. They would like to begin a new academic student exchange program in the future.”
</w:t>
          <w:br/>
          <w:t>In addition, on Nov. 13  the Department of Diplomacy met with the Department of European and Chinese relations of Charles University in Prague to hold the third annual, “Step by Step to New Chinese and European Relations Forum.”  Chin-mo Cheng travelled to Czech Republic to give a lecture with educators of various countries in a forum with three main focal points: Ideas and Practice, European Union’s Step by Step Plan and International Social Review. Chin-mo Cheng expressed, “On this trip, in addition to the forum, we had a very productive university exchange and signed an agreement for further academic cooperation.”</w:t>
          <w:br/>
        </w:r>
      </w:r>
    </w:p>
  </w:body>
</w:document>
</file>