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66b3d65e6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教部公布各校國際論文數量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教育部上週公布2002年各大學、技職校院、專科國際論文發表統計資料，本校教師發表在SCI、SSCI、EI論文327篇，高居全國154所院校中第14名，成績亮眼。除三所有醫學系的私立大學長庚、高醫及中國醫藥外，本校居私校龍頭。
</w:t>
          <w:br/>
          <w:t>
</w:t>
          <w:br/>
          <w:t>　教育部為提升國內大學的競爭力，迎合國際化的趨勢，擬定方案來激勵各大學，日前所公布的國際認證學術研究資料，以後將能成為大學評鑑項目之一。教育部引用SCI（科學索引）、SSCI（社會科學索引）、EI（工程期刊索引）發表論文篇數多寡作為排名，雖然引起部分大學爭議，認為論文可能重複計算，表示將再精確計算後，將來還會再加入A＆HCI（藝術人文索引）及TSSCI（台灣社科索引）以求公正。
</w:t>
          <w:br/>
          <w:t>
</w:t>
          <w:br/>
          <w:t>　本校在SCI、SSCI、EI三類期刊索引上的論文數共有327篇，前13名除台大、成大、清大、交大等國立大學外，還有三所私立醫學大學，由於SCI、EI皆偏重理工、醫學，且醫療案例論文也在申請範圍，本校贏過所有私立綜合大學及許多國立大學，學術研究成果有目共睹。
</w:t>
          <w:br/>
          <w:t>
</w:t>
          <w:br/>
          <w:t>　校長張紘炬對此結果表示欣慰，本校教師一向對研究相當投入，注重學術研究風氣，這是老師們的功勞。創辦人張建邦當年任校長時就訂有研究獎勵辦法，且砸下重金鼓勵，如今果然成效顯著。本校教師可申請校內研究獎勵費，經審核通過，教授一年有14萬元，發表在國際認可的期刊上，每篇另有三萬元獎勵，至多三篇，一年最多可領23萬元。張校長指出，本校淡水校園未來希望發展為研究型大學，提昇論文的質與量是必要的，如此才能達到進軍世界一流大學的理想。</w:t>
          <w:br/>
        </w:r>
      </w:r>
    </w:p>
  </w:body>
</w:document>
</file>