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4139bfca745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）小聰明以日文創作完成「智慧都市WALKING」旅遊書，小華想將它翻譯成中文加以出版，是否需要取得小聰明同意？
</w:t>
          <w:br/>
          <w:t>(1)需要，因為翻譯屬於改作原著作的行為，所以要經過原著作人的同意。
</w:t>
          <w:br/>
          <w:t>(2)不需要。
</w:t>
          <w:br/>
          <w:t>2.（　）我想在自己的部落格裡，提供其他網站的網址連結，單純的超連結會不會侵害著作權？
</w:t>
          <w:br/>
          <w:t>（1）一定不會，因為並沒有轉貼內容。
</w:t>
          <w:br/>
          <w:t>（2）原則上不會，但如果明知道連結的網頁是有關軟體密碼破解、電影和音樂免錢聽、免錢看等侵害著作權的網站，這樣就會有侵害著作權的風險。
</w:t>
          <w:br/>
          <w:t>
</w:t>
          <w:br/>
          <w:t>答案：1.（1）2.（2）</w:t>
          <w:br/>
        </w:r>
      </w:r>
    </w:p>
  </w:body>
</w:document>
</file>