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e000dfe7ea40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TKU International Students Recognized for Excellence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Report】Australian student of the Division of Continuing Education, Alexander Salvador Matos, participated in the 2015 Global Culture Ambassador Competition held by Quanta Culture and Education Foundation and received the “Best Promotion Award.” The competition took place over the course of 7 months and 10 Culture Ambassador Candidates were asked to choose among 10 middle schools and elementary schools for different tasks. Mr. Matos was sent to New Taipei City’s Jhanghe Junior High School for an exchange. Professor of the Chinese Language Center, Zhong-fang Cao, shared, “Alexander is such a diligent student. His exchange with Jhanghe Junior High school was themed around the aboriginals of Australia. He used drawings, pictures and traditional Australian music to give the students a deeper understanding of the culture.”
</w:t>
          <w:br/>
          <w:t>Korean student of the Department of Public Administration, Jia-jun Zhang, and Japanese student of the Department of History, Bian-yu Du, participated in Sun Yat-sen’s, “International Student Chinese Language Speech Contest” and were awarded for their skills as they spoke on topics two topics: “My Future isn’t a Dream” and “The Beauty of Taiwan.” Professor of the Chinese Language Center, Hsiu-ling Tung, expressed, “This competition involves international students from all over the nation. It is quite the feat for these students to be recognized. They stayed after class every day to practice and that’s why they had such a brilliant performance.”</w:t>
          <w:br/>
        </w:r>
      </w:r>
    </w:p>
  </w:body>
</w:document>
</file>