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aea92cd80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◎龔鵬程「龍性難馴」書法展在北京揭幕
</w:t>
          <w:br/>
          <w:t>中文系校友龔鵬程為臺灣著名國學大師，學術淵深，著作宏富，在學界久著盛名，被推崇為「當代孔孟」、「天下第一才子」。龔鵬程主管過兩岸文教交流事務，在臺灣辦過兩所大學，2004年至大陸後，執教於北京大學，為推動文化復興工作不遺餘力。
</w:t>
          <w:br/>
          <w:t>3月19日由北京大學文化資源研究中心主辦、商務印書館承辦的「龍性難馴」龔鵬程巡迴書法展正式揭幕。書法展展出60餘幅書法作品、4板漆書以及出版的140餘本著作。　其中，書法作品包括：《東方九氣符》、《漢畫像石拓片及題跋》、《雙鶴聽泉琴譜》等以雲篆、石拓片等獨特書體展現。此書法展一方面追求書法與展出當地的人文傳統相結合，另一方面強調「書寫性情」，使書法更具內在化。（文／校友服務暨資源發展處提供）</w:t>
          <w:br/>
        </w:r>
      </w:r>
    </w:p>
  </w:body>
</w:document>
</file>