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ff049044449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【1000期特刊】筆耕不輟論千秋 風華再現傳百世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1000期特刊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淡江時報》組織發展歷程可謂為學校簡史，自1953年《英專週報》創刊起，隨著刊物名稱演變，共同見證英專、文理學院、大學成長波段，秉持「國際、資訊、未來」三化的思維與視野，賦予閱報人潛移默化的淡江文化價值。
</w:t>
          <w:br/>
          <w:t>63年維繫淡江人的校園刊物，從打字油印到刀剪飛舞的手工編版，再轉變為電腦排版、全彩印刷。積極扮演傳播知識、領導知識的平台。曾在《淡江時報》第1期期許：「淡江成長的速度與步履的堅穩，幾與時代潮流的節拍相應和」。如今隨著全球媒體面臨典範轉移、內容匯流，自1000期起，「一次採製、多媒呈現」經營，將更符應潮流趨勢的開展。
</w:t>
          <w:br/>
          <w:t>淡江辦學已邁向66年，《時報》始終堅守崗位，扮演第一時間傳遞「新聞」的任務，發揮師生、校友與學校間溝通的功能，普及全球各角落的淡江人，在「時報園地」中同享校園活動，增進情誼，更間接促成大團結的力量。
</w:t>
          <w:br/>
          <w:t>適值校慶前夕，也是發刊圓滿的日子，「6(陸)」與「祿」同音，有福氣的意義，在「3」無限延伸的意義下，象徵淡江「福祿壽」三星拱照的美好祝福，謹此，希冀《淡江時報》在數位匯流時代，賡續「筆耕不輟」精神，開創媒體嶄新格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17b9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b0e5e7d4-4d6e-4926-af45-adbbad161218.jpg"/>
                      <pic:cNvPicPr/>
                    </pic:nvPicPr>
                    <pic:blipFill>
                      <a:blip xmlns:r="http://schemas.openxmlformats.org/officeDocument/2006/relationships" r:embed="R656fbc4b7d404b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6fbc4b7d404b29" /></Relationships>
</file>