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7b01de9a264d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TKU Honored for Involvement in Cross Strait Relations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【Jin-yu Cai, Tamsui Campus Report】Due to a great contribution that helped strengthen relations of the Cross Straits, Director of the Graduate Institute of China Studies, Wu-ueh Chang, and Professor Chun-shan Chao, were awarded the “First Level Chinese Professional Labor Award” on May 11 by the Mainland Affairs Council for their recent consultation in significant events such as the Ying-jeou Ma and Jin-ping Xi Summit.   
</w:t>
          <w:br/>
          <w:t>Wu-ueh Chang expressed, “This university unifies theoretical and practical concepts. We utilize this information and develop them into strategies for projected futures. Then we lend our suggestions to the government.”  Chun-shan Chao expressed, “It’s my honor to be able to provide students with knowledge of political developments and strategies with first-hand experience. This is not only my honor, but also an honor for Tamkang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cfbbc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58b07976-93c7-4fac-ad61-1de3df43c20b.jpg"/>
                      <pic:cNvPicPr/>
                    </pic:nvPicPr>
                    <pic:blipFill>
                      <a:blip xmlns:r="http://schemas.openxmlformats.org/officeDocument/2006/relationships" r:embed="R543d94dd4ba6481d"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43d94dd4ba6481d" /></Relationships>
</file>