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d4efb76bda41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President Chang has Productive Trip in Shanghai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Times】President Flora Chia-I Chang and Vice President Wan-chin Tai travelled to Shanghai for an exchange at Shanghai Jiao Tong University (SJTU) and sister school East China Normal University (ECNU) from May 16-17. On May 17 President of SJTU, Jie Zhang welcomed the TKU representatives personally as both parties shared concepts of university governing methods and practical implications of policies. In addition, they planned student exchanges, signing an agreement to send 10 students for international study per year.
</w:t>
          <w:br/>
          <w:t>President of ECNU, Jun Chen, met with the TKU delegation and they decided to bring their relationship into a more intricate form of cooperation. President Chang met with Taiwanese exchange students currently studying at ECNU for insight to carry out future exchanges.
</w:t>
          <w:br/>
          <w:t>SJTU was founded in 1896, initially given the title Chiao Tung University. Its many academic achievements has given it a prestigious reputation, ranking it as 4th among universities in China.ECNU was founded in 1951 and has been ranked in the top 3 in mainland China of regular universities. TKU and ECNU became sister universities in 2003.</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6d066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2a7405f6-c9f9-4e7d-a537-1ee0c8f1cc17.jpg"/>
                      <pic:cNvPicPr/>
                    </pic:nvPicPr>
                    <pic:blipFill>
                      <a:blip xmlns:r="http://schemas.openxmlformats.org/officeDocument/2006/relationships" r:embed="R0890722ad53a4fd0"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90722ad53a4fd0" /></Relationships>
</file>