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16a6bfd09144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Lanyang Campus Honors 232 Graduates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【Jia-ling Liu, Lanyang Campus Report】On Jun. 4 Lanyang Campus held its 8th graduation ceremony at the Shao-mo Memorial Activity Center with a total of 232 graduating students, including 26 international students from 17 countries. The event was hosted by President Flora Chia-I Chang and included honored guests: Ambassador of the Republic of Kiribati, Teekoa Luta, Ambassador of the Republic of the Marshall Islands, Frederick Muller, Ambassador of the Republic of Nauru, Ludwig Dowong Keke, Ambassador of the Republic of Nicaragua, William M. Tapia, Ambassador of the Republic of Palau, Dilmei Louisa Olkeriil, Ambassador of Saint Lucia, Hubert Emmanuel and Ambassador of the Democratic Republic of Sao Tome and Principe, Antonio Quintas Do Espirito Santo.
</w:t>
          <w:br/>
          <w:t>In President Chang’s address she focused on the special attributes of Lanyang Campus including the English instruction programs, study abroad programs and the residential college, remarking on how these three properties play crucial roles in the development successful students. She then encouraged graduating students to take the founding ideologies of Tamkang University, being the Three Circles (professional, core and extracurricular) and Five Disciplines (conduct, intelligence, physical education, teamwork and beauty) and absorb it into their lives for a prosperous future.
</w:t>
          <w:br/>
          <w:t>Ambassador William M. Tapia, expressed a special thanks to the international students, encouraging them to take the knowledge back to their countries for development and to create an international bridge of cooperation. Special awards were then presented to students for remarkable performance including an international award, leadership award, academic credit award and outstanding performance award.</w:t>
          <w:br/>
        </w:r>
      </w:r>
    </w:p>
  </w:body>
</w:document>
</file>