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e9e2b642f5471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智慧財產權Q &amp; A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◎主題：專利權，試試看您能否答對：
</w:t>
          <w:br/>
          <w:t>（__）阿龐和小艾不約而同的發明了同一種自動餵狗吃飯的機器，兩人也先後向智慧財產局提出專利申請，請問他們二人可以同時擁有專利權嗎？
</w:t>
          <w:br/>
          <w:t>（A）不可以，因為專利採先申請主義，因此由先申請者優先取得專利權。
</w:t>
          <w:br/>
          <w:t>（B）可以，因為不約而同的發明了同一種機器，所以可以同時擁有專利權。
</w:t>
          <w:br/>
          <w:t>答案：（A）</w:t>
          <w:br/>
        </w:r>
      </w:r>
    </w:p>
  </w:body>
</w:document>
</file>