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b302431abe49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數位教材工作坊快報名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【本報訊】教材再進化！報名1/13(五) 「數位化教學工作坊-數位教材之智慧財產權」。為使本校教師對於正確引用他人文字、圖片、照片等素材時所需注意之智慧財產權有更進一步的認識，遠距組特舉辦「數位化教學工作坊-數位教材之智慧財產權」，邀請大成台灣律師事務所葉玟妤律師針對教材製作所需注意之智財權法、合理使用、創用CC等議題進行說明。報名網址：http://enroll.tku.edu.tw/course.aspx?cid=deds20160113，業務聯絡人：遠距教學發展組 張瑞麟 分機2488。</w:t>
          <w:br/>
        </w:r>
      </w:r>
    </w:p>
  </w:body>
</w:document>
</file>