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27376bc6743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【學程加油讚】高分子材料應用就業學分學程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落實學用合一政策，強化學生實務知識與專業職能，化材系針對該系之大學部二、三年級學生，推出「高分子材料應用就業學分學程」，透過以就業為導向之實務課程規劃，幫助提供學生職場之實習經驗。修習本學程之學生必須修畢總學分數至少16學分，包含，包含基礎課程相關科目至少9學分、實務課程相關科目5學分、校外專業實習課程2學分；申請方式於每年5月1日至31日，填妥本就業學分學程申請表、檢附學生證影本後，送交至化材系辦公室，關於本學程的修課科目表等相關訊息，請密切注意化材系辦公室或該系網站。（文／本報訊）</w:t>
          <w:br/>
        </w:r>
      </w:r>
    </w:p>
  </w:body>
</w:document>
</file>