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0cf07399cc48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公行週邀蕭美琴演講</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【記者李宜珊報導】公共行政學系於今日至廿九日舉辦「公行週」活動，藉由靜態展覽、影片放映及演講等活動，讓全校師生對公行系有更進一步的認識。
</w:t>
          <w:br/>
          <w:t>
</w:t>
          <w:br/>
          <w:t>　靜態展覽方面，介紹台灣早期的學生運動如保釣運動、三月學潮等，使同學對近代學生參與政治的軌跡有進一步的了解與認識。會長楊湘齡強調，公行系所學的與政治、法律等密不可分，因此才會以學運簡史作為這次的主題，她同時也希望同學們可以藉這次的機會了解學生參與政治活動的合法性。
</w:t>
          <w:br/>
          <w:t>
</w:t>
          <w:br/>
          <w:t>　除此之外，公行系也邀請講師張正修、立法委員蕭美琴，以及司法改革基金會執行長王時思等人，於廿九日下午六時三十分假書卷廣場演講「學生角色與社會關係──探討知識份子之地位與政治、政黨、與國家關係」。</w:t>
          <w:br/>
        </w:r>
      </w:r>
    </w:p>
  </w:body>
</w:document>
</file>