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4a8ebbb8424d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【人物短波】葉書蘋獲詩慈濟原獎佳作</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本校師培中心兼任講師葉書蘋日前以「慈濟祈願」為題，獲得2017全國青年「詩慈濟原」佳作。該獎由臺中市豐原國際青年商會主辦徵稿現代詩，作品內容須包含「慈濟宮媽祖文化」、「豐原之風土民情」、「葫蘆墩民間傳說故事」或「祈福花語」等相關內容為創作主題，葉書蘋以詩詞描繪臺中市豐原慈濟宮數百年來承載著信眾祈願和希望，獲得評審肯定，於海內外130多件投稿中成為9名得獎者之一。得獎者除了獲得該獎項獎勵，主辦單位會在豐原慈濟宮內展出得獎詩作，並印製成明信片讓民眾可以欣賞並可取閱留念。（文／本報訊）</w:t>
          <w:br/>
        </w:r>
      </w:r>
    </w:p>
  </w:body>
</w:document>
</file>