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a9ae970e2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優九聯盟校際雙主修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本校與優九聯盟共同推進「校際雙主修修讀辦法」以及「校際輔修修讀辦法」，為學生提供更多元化的學習平台。註冊組組長陳漢桂表示，優九聯盟雙主修以及輔系有望在106學年第二學期實施，目前正在等待教育部審核通過。與本校規定相同，輔系與雙主修能夠同時申報；雙主修申報條件為前一學期所修習學分達15學分以上且學期學業成績平均達75分以上，輔系無門檻限制。陳漢桂提醒，由於雙主修或輔系要到其他學校上課，並且開課也按照各學校的規定，因此各位同學需要考慮到雙主修輔系課程與自己的課程是否衝突，以及考慮交通等各項因素，合理安排雙主修以及輔系。我校雙主修以及輔系承認暑修學分，其他學校根據各校的具體規定。陳漢桂歡迎同學到優九聯盟網站查詢相關訊息。（網址：http://u9.tku.edu.tw/）</w:t>
          <w:br/>
        </w:r>
      </w:r>
    </w:p>
  </w:body>
</w:document>
</file>