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f3d1ace7b5f4c6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577 期</w:t>
        </w:r>
      </w:r>
    </w:p>
    <w:p>
      <w:pPr>
        <w:jc w:val="center"/>
      </w:pPr>
      <w:r>
        <w:r>
          <w:rPr>
            <w:rFonts w:ascii="Segoe UI" w:hAnsi="Segoe UI" w:eastAsia="Segoe UI"/>
            <w:sz w:val="32"/>
            <w:color w:val="000000"/>
            <w:b/>
          </w:rPr>
          <w:t>ON-LINE CHINESE AND JAPANESE JOINT CALLIGRAPHY EXHIBITION:  RECRUITING WORKS!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TKU has made an agreement with Kyoto Tachibana Women's Univ. to hold joint on-line calligraphy exhibition. Starting from next semester, every semester each school will select 24 works by students and display them on the web. Dept. of Chinese and Calligraphy Research Center are responsible for recruiting works from TKU students. Those students who are interested in this exhibit can send their works to Calligraphy Research Room, Carrie Chang Fine Arts Center by the end of August 2004. The content and format of the works are free by the participants. In early September, the committee will select 24 works, photograph them, and then show them on the web. The participants can take back their originals in the mean time. 
</w:t>
          <w:br/>
          <w:t>
</w:t>
          <w:br/>
          <w:t>To encourage the participation of this activity, Mr. Chang Ping-huan, Vice-Director of Carrie Chang Fine Arts Center, will award every one of the 24 artists with 3,000 NT. The award money is from the Calligraphy Scholarship Fund raised by Mr. Chang. In his one-man calligraphy show held on May 2004, at Chung-cheng Arts Gallery, Chiang Kai Shek Memorial Hall, Mr. Chang suggested to those who would like to send flowers as token to converse their gift to scholarship money. Presently, the fund adds up to 400,000 NT.</w:t>
          <w:br/>
        </w:r>
      </w:r>
    </w:p>
  </w:body>
</w:document>
</file>