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b5f6b81e3d4a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【人物短波】趙允明新任華碩營運長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機電系校友趙允明3月份獲華碩電腦延攬，出任營運長（COO）一職，在此之前，趙允明是英特爾業務行銷事業群副總裁暨亞太日本區業務總經理。趙允明自本校畢業後赴美留學，並取得匹茲堡大學企管碩士學位，陸續在台灣以及美國的科技公司服務10餘年，歷任多項銷售及管理職位。後來進入Intel任職逾20年，並擔任過英特爾台灣ODM技術應用總監及英特爾業務行銷事業群副總裁暨亞太日本區業務總經理等職務，時亦曾兩度獲得英特爾成就獎。（文／本報訊）</w:t>
          <w:br/>
        </w:r>
      </w:r>
    </w:p>
  </w:body>
</w:document>
</file>