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0e7b899f9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  ）電腦程式是著作權法保護的著作。
</w:t>
          <w:br/>
          <w:t>2.（  ）原則上，著作權的侵害屬於「告訴乃論」罪，所以發生侵害時，著作權人可以自己決定到底要不要對侵權之人進行刑事告訴。
</w:t>
          <w:br/>
          <w:t>3.（  ）當著作人死亡後，我們可以立刻將他的小說隨意改拍為電影。
</w:t>
          <w:br/>
          <w:t>      【說明：著作財產權存續期間是著作人的生存期間加上其死後50年，在著作財產權存續期間，將他人的小說隨意改拍為電影，會侵害著作財產權人的「改作權」。】
</w:t>
          <w:br/>
          <w:t>
</w:t>
          <w:br/>
          <w:t>答案：1.（○）2.（○）3.（Ｘ）</w:t>
          <w:br/>
        </w:r>
      </w:r>
    </w:p>
  </w:body>
</w:document>
</file>