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737b68f73f245e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492 期</w:t>
        </w:r>
      </w:r>
    </w:p>
    <w:p>
      <w:pPr>
        <w:jc w:val="center"/>
      </w:pPr>
      <w:r>
        <w:r>
          <w:rPr>
            <w:rFonts w:ascii="Segoe UI" w:hAnsi="Segoe UI" w:eastAsia="Segoe UI"/>
            <w:sz w:val="32"/>
            <w:color w:val="000000"/>
            <w:b/>
          </w:rPr>
          <w:t>Nothing Is more Important than to Raise Faculty’s Academic Distinction and Students’ Impetus for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the spring semester re-opens on Feb. 18, Dr. Clement C.P. Chang, Founder of TKU, told reporters of Tamkang Times that the essential challenge facing Tamkang U. will be 1) elevating the research standard of the faculty and 2) promoting students’ impetus for studies.
</w:t>
          <w:br/>
          <w:t>
</w:t>
          <w:br/>
          <w:t>Dr. Chang said he had already told Pres. Chang Horng-jinh to alert the deans of nine colleges to discuss this vital issue in their meetings with department chairs and faculty members so that they may think of some substantial measures to realize these goals in the foreseeable future.
</w:t>
          <w:br/>
          <w:t>
</w:t>
          <w:br/>
          <w:t>In the winter-vacation Tamkang Times Seminar for Practicing Correspondents held on Feb. 18, at 9:30 A.M., Dr. Chang not just expressed this wish, but also told our Director and correspondents to do on-the-spot coverage reports while the meetings of the 9 colleges are in progress.  He also urged our correspondents to interview the deans, and ask them to comment on how they would approach the challenge imposed on both faculties and students.
</w:t>
          <w:br/>
          <w:t>
</w:t>
          <w:br/>
          <w:t>Meanwhile, four imminent directives have been laid out by our Founder, and they are: 1) To publish a series of reports featuring the National Information Conference bearing the special title of “The Information Man”.  2) To do a special report on the Core-Courses Curriculum Conference soon to be held to mark its 10th anniversary.  3) To carry out more promotional publicity on the publications and texts in connection with the 3 major technology revolution and 4) Once again, to pay more attention to the coverage report of faculty research efforts and students’ study impetus.</w:t>
          <w:br/>
        </w:r>
      </w:r>
    </w:p>
  </w:body>
</w:document>
</file>