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baddac62643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The Regulation Requiring Faculty’s Physical Presence at School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resolution governing full-time teacher’s stationing-at-school for 4 days regulation, which had been passed in last year’s pan-colleges conference, is expected to be fully implemented this semester. 
</w:t>
          <w:br/>
          <w:t>
</w:t>
          <w:br/>
          <w:t>The resolution decrees that a full-time faculty should be physically present at school for 4 days which, however, can be split into 8 half-days. 
</w:t>
          <w:br/>
          <w:t>And a faculty has the option to choose from Monday thru Friday, including morning, afternoon and evening, and each time slot of these three divisions will be considered a half day. 
</w:t>
          <w:br/>
          <w:t>
</w:t>
          <w:br/>
          <w:t>Furthermore, the stationing-at-school regulation also includes the 8-hour time for teaching classes, plus hours for student counseling.  In case a faculty is unable to arrange the 8 half-day hours by lumping them neatly into 3 time slots, he/she must arrange 32 hours at his/her convenience to meet the requirement. 
</w:t>
          <w:br/>
          <w:t>
</w:t>
          <w:br/>
          <w:t>As for Saturdays, no half-days will be allowed except for faculties who take in-service or on-the-job training courses.  But a full-timer from the Office of Physical Education when training students representing school teams will be made an exception.  In other words, the half-day credit will be accepted.  
</w:t>
          <w:br/>
          <w:t>
</w:t>
          <w:br/>
          <w:t>In completing the form of office hours, a faculty should remember to indicate involved activities such as teaching, counseling students, doing research at school, attending meetings, administrative service, and other duties.  He/she is also required to fill out the office hours in a consolidated form, file it with the first-level teaching unit and has the copy posted outside the research room and made the copy available in the department and college offices, to which he/she belongs. 
</w:t>
          <w:br/>
          <w:t>
</w:t>
          <w:br/>
          <w:t>In case of any change after the deadline of withdrawal and addition of courses, a new form should be submitted to replace the old one.  Those who have administrative duties should indicate their office locations. 
</w:t>
          <w:br/>
          <w:t>
</w:t>
          <w:br/>
          <w:t>For violation of such a code, an admonition will be issued by the responsible teaching unit; if no improvement is followed after admonition, it will be put on the faculty’s file along with his/her accumulated performance record for reference, when promotion comes up in the future.  For flagrant offenders, they will be handled by departments and colleges for necessary actions. 
</w:t>
          <w:br/>
          <w:t>
</w:t>
          <w:br/>
          <w:t>But the regulations have caused mixed reactions from the faculties.  Not every one is happy or in favor of them.</w:t>
          <w:br/>
        </w:r>
      </w:r>
    </w:p>
  </w:body>
</w:document>
</file>