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7d2106ed9345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本校107學年度日間部大一新生註冊率95.05%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淡水校園報導】本校教務處統計107學年度日間部大一新生註冊率為95.05%（統計截至10月15日），其中尖端材料科學學士學位學程、水資源及環境工程學系環境工程組報到率達100%。本校前兩年日間部新生報到率，106學年度為96.16%、105學年度為96.58%，教務長鄭東文表示，「現今大學系所種類五花八門，學生選擇與考量增加，但在少子化與激烈競爭下，本校積極推動三環課程、鏈結產學合作及規劃榮譽學程，透過各系所分析招生狀況和每年校務發展計劃的執行，期待有更多學生認識到淡江特色與優勢。」
</w:t>
          <w:br/>
          <w:t>今年邁入第四年的尖端材料科學學士學位學程，連兩年達到註冊率100%，主任陳曜鴻說，「本系為新創科系，近年致力招生工作，透過校友們的協助，我們得以在各高中舉辦說明會，宣傳本系學習範疇，且透過校友的學經歷說明，拉近高中生與淡江的距離。」他補充，尖端學程的研究以產業趨勢為主，積極研發各材料的新興應用及結合方式，「歡迎學子加入我們，一起走在材料開發的最尖端。」
</w:t>
          <w:br/>
          <w:t>水環系系主任李柏青表示，「感謝系上師生的共同努力。水環系以學生職涯發展為第一優先考量，因此到各地高中宣傳時，首要揭示系上教學內容及出路方向。」他補充，水資源工程組以控制水量、水利工程為學習主軸，與防洪防災較相關，環境工程組以水質處理工程為基礎，結合防污染與生態環境永續觀念。兩者對現今的水文議題都很重要，李柏青期盼未來有更多人才到水環系就讀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504944" cy="4876800"/>
              <wp:effectExtent l="0" t="0" r="0" b="0"/>
              <wp:docPr id="1" name="IMG_d79960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74/m\041b69c0-88c3-46eb-9ada-84b668428599.jpg"/>
                      <pic:cNvPicPr/>
                    </pic:nvPicPr>
                    <pic:blipFill>
                      <a:blip xmlns:r="http://schemas.openxmlformats.org/officeDocument/2006/relationships" r:embed="Rbdbb60e9010644b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0494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dbb60e9010644b5" /></Relationships>
</file>