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9b5340288647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Ten Sister Universities of TKU Are Available for You to Apply for an Exciting Overseas Experience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Beginning today, the International Exchanges &amp;amp; International Education Office will accept applications from students who wish to study in one of the TKU’s sister schools.  For matters relating to exchange students’ qualification, papers and background information of the sister schools, please contact IE&amp;amp;IE or logon the On-line address of your target school for details. 
</w:t>
          <w:br/>
          <w:t>
</w:t>
          <w:br/>
          <w:t>There are altogether 19 vacancies from 10 schools.  The deadline for enrolment falls on March 8, 2002. 
</w:t>
          <w:br/>
          <w:t>
</w:t>
          <w:br/>
          <w:t>The names of the available sister schools are: Sweden: Stockholm U.; Australia: Curtin U. of Technology, South Korea: Kyungnam U.and Kyonggi U., Poland: U. of Warsaw, France: Universite of Jean Moulin, Lyon 3, Austria: The University of Vienna, Germany: University of Cologne and University of Bonn, Belgium: Haute Ecole Leonard De Vinci. 
</w:t>
          <w:br/>
          <w:t>
</w:t>
          <w:br/>
          <w:t>Among the 10 schools, Poland’s University of Warsaw just recently signed a cooperation contract with TKU. 
</w:t>
          <w:br/>
          <w:t>
</w:t>
          <w:br/>
          <w:t>For tuition and necessary fees, students are requested to clear them up by paying TKU first.  But the living expenses will have to be taken care of by students themselves. 
</w:t>
          <w:br/>
          <w:t>
</w:t>
          <w:br/>
          <w:t>Most of the sophomores are eligible to apply with the exception of two schools: University of Cologne, Germany, as they prefer graduate students, but Belgium’s Haute Ecole Leonard De Vinci takes graduate students only. 
</w:t>
          <w:br/>
          <w:t>
</w:t>
          <w:br/>
          <w:t>As for the minimum grade requirement, students should meet a 75 points GPA standard; with graduate students, the requirement is higher: 80 points GPA standard. 
</w:t>
          <w:br/>
          <w:t>
</w:t>
          <w:br/>
          <w:t>The language requirement is as follows: for students from College of Foreign Languages &amp;amp; Literature, the preliminary screening will be decided upon by the department to which the students belong. 
</w:t>
          <w:br/>
          <w:t>
</w:t>
          <w:br/>
          <w:t>Every applying student should remember that his/her TOFEL average should be at least 500 points, but for Australia’s Curtin U. of Technology, it’s a little higher: 550 points. 
</w:t>
          <w:br/>
          <w:t>
</w:t>
          <w:br/>
          <w:t>Students who intend to apply should be equipped with 1) an Exchange Students’ Registration Form; 2) a complete annual Academic Transcript (Chinese and English) and 3) a Language Proficiency Certificate or related acceptable papers.  Please come forward to IE&amp;amp;IE for clearance of enrolment procedures.  Of course, the afore-mentioned documents should be in your possession when you apply.  The address is: Room L402, College of Liberal Arts Building.</w:t>
          <w:br/>
        </w:r>
      </w:r>
    </w:p>
  </w:body>
</w:document>
</file>