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f922e421b5146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An International Conference on the Subject of Modernization of China and Russia Will Be Held between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international conference on the common theme of “The Traditional Chinese/Russian Value System vs. Their Impact upon Modernization Problems” will be held between November 20 and 21 in the International Conference Room, Chueh Sheng Memorial Hall.  Scholars from Taiwan, USA, Russia, Ukraine and Italy will come forward to attend and read their research papers.  According to Prof. Alexander A. Pissarev, Director, Graduate Institute of Slavic Studies, TKU, the process relating to the modernization of China and Russia cannot be separated from the cultural as well as historical background.  However, in viewing their consequence from a vantage point, not merely the process, but also the direction, is different.  This, Prof. Pissarev pointed out, will be the major concern of the conference. 
</w:t>
          <w:br/>
          <w:t>
</w:t>
          <w:br/>
          <w:t>Our friends from faraway lands include Dr. Giraudo, Director, Graduate Institute of Eurasian Studies, Venice University, Italy, Dr. S. Vradiy, Institute of Oriental Studies, Fareastern State University, Vladivostok, Dr. M. Meyer, Dean, Dr. A. Karneev, Deputy Dean and Dr. V. Kozyrev, Professor, Institute of Asian /African Studies, Moscow State University and Dr. A. Pantsov, Capital University, USA.</w:t>
          <w:br/>
        </w:r>
      </w:r>
    </w:p>
  </w:body>
</w:document>
</file>