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6396ab49b94a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Pres. Chang Horng-jinh Visits Europe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European academic tour led by Pres. Chang Horng-jinh and Dr. Feng Chao-kang, V.P. for Academic Affairs was concluded successfully, ending in a signing potential with the time-honored University of Paris-Sorbonne as well as the University of Jean Moulin, Lyon 3 for a possible joint Ph.D. Studies, with which a student from Tamkang, under the guidance of advisors from the above two universities, could take courses and complete his dissertation writing in due course. Given time, this program can become a reality.   
</w:t>
          <w:br/>
          <w:t>
</w:t>
          <w:br/>
          <w:t>The Chinese Studies program in the Stockholm University, Sweden, is well-known, and so an exchange program between Tamkang and Stockholm can be expected shortly.  While visiting the famed University of Warsaw in Poland, the delegation was entertained by a T.K.U. alumnus, now pursuing his Ph.D. studies in the University.  A tie-knotting ceremony between the two universities will be signed in November when T.K.U. celebrates her 5lst anniversary.   
</w:t>
          <w:br/>
          <w:t>
</w:t>
          <w:br/>
          <w:t>At the invitation of Taiwan’s Liaison Office in Germany, Pres. Chang delivered a lecture on the subject of “New Challenges and New Trends Facing the Colleges and Universities Today” in the Symposium of University’s Chancellors.  The lecture was very warmly received by those who attended the Symposium.</w:t>
          <w:br/>
        </w:r>
      </w:r>
    </w:p>
  </w:body>
</w:document>
</file>