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21c21c4f3741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分組結論報告(一) 如何透過雙軌轉型提升本校教學、研究、產學合作績效？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108學年度教學與行政革新研討會特刊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報告人何啟東
</w:t>
          <w:br/>
          <w:t>　提綱一之校務發展計畫之教學的轉型Ａ績效檢核上，將以「彈性學制」策略，「課程教學創新，卓越人才培育」是績效檢核中的量化指標，必須給予更多的彈性運作空間，「多元課程」也是在課程創新部分給予更多的彈性運作空間。在教學之雙軌轉型上，各院、系及教師能運用淡江智慧3i及3D協助學生從入學、在學、畢業到就業，打造快速轉變的超能力；在教學實踐研究計畫上，認為應建立校、院、系之行政支持體系與機制，營造共創共享與共好的淡江教學研究典範。
</w:t>
          <w:br/>
          <w:t>　題綱二之校務發展計畫之教學的轉型B創新上，建議啟動AI跨域學習，讓理、工、資訊專業或人文社會科學學生，都能認識AI、學習AI、運用AI，提升就業競爭力；也盼運用本校之「淡科技」（Tam-nology）進行線上輔導與會議。研究中心可增加產學合作計畫案、連結學術研究及實務應用、提升本校媒體曝光度，以發揮更積極的角色。建議可以達文西樂創基地為中心建立微課程，並鼓勵學生創新創業。
</w:t>
          <w:br/>
          <w:t>　題綱三之2025年之教學、研究、產學之願景擘劃上，持續落實淡江三化教育理念及學生八大素養以形塑淡江DNA，校、院、系應擘劃2025年招生、教學、研究、產學願景並努力推動，形塑第五波「超越」意象；提高終身學習功能；協助企業、帶職員工提升自身能力。同時，以各校級研究中心為目標申請產學聯盟，以教師成立的產學群為目標申請如科普、產學小聯盟、特用化學品等產學小聯盟，期許達到產學成立100%（2倍成長）及3家淡江新創公司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63504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906f05e1-a53d-43b1-91f5-945b51bc49ac.JPG"/>
                      <pic:cNvPicPr/>
                    </pic:nvPicPr>
                    <pic:blipFill>
                      <a:blip xmlns:r="http://schemas.openxmlformats.org/officeDocument/2006/relationships" r:embed="R0c979cba105c46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c979cba105c462e" /></Relationships>
</file>