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ab516d28b42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分組結論報告(四) 如何透過雙軌轉型提升蘭陽校園經營績效？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報告人林志鴻
</w:t>
          <w:br/>
          <w:t>　本組將以「蘭陽校園經營績效定義」、「蘭陽校園定位」、「蘭陽校園策略」進行說明。
</w:t>
          <w:br/>
          <w:t>　從經營績效定義看，大三出國帶領學生開拓國際視野，宣傳全英語教學成效，增加境外生人數，並管控水電成本。新市場方面，可承接民間團體在職訓練班隊，提升曝光度，透過與在地結合以加強產業聯結，希望達到收支平衡、盈虧自理。
</w:t>
          <w:br/>
          <w:t>　在蘭陽校園定位上，校園具有頂級景觀、獨立環境，故在新市場上，可開多元證照課程，與在地社區連結，發展社區教育和培養社區意識，善盡大學社會責任；並從淡水校園延伸，開辦進學班，發展頂端樂齡學院、樂活中心等建教合作，歡迎新生迎新宿營。
</w:t>
          <w:br/>
          <w:t>　蘭陽校園策略方面，以三全教育為特色吸引高中職學生就學，與在地社區、高職合作開設證照及推廣教育，現有的蘭陽校園具有完整設施；在新市場上，可開辦動態學習中心、樂齡長青課程、養生村，並結合地方產業輔導青年創業，設立國際或附屬或實驗中小學，以青年創客為目標族群，開發打工換宿，結合銀髮族發展樂齡長青課程；可開辦多元分齡探索營，提出地方創生計畫，鼓勵當地青年就業。將以發展蘭陽校園2.0，再造蘭陽校園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c51f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cff62b7-3689-48ea-ad9e-c11c5fc38ac8.JPG"/>
                      <pic:cNvPicPr/>
                    </pic:nvPicPr>
                    <pic:blipFill>
                      <a:blip xmlns:r="http://schemas.openxmlformats.org/officeDocument/2006/relationships" r:embed="Re5238837701942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23883770194264" /></Relationships>
</file>