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8897483894e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學發組推5學業成績進步獎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【記者柯家媛淡水校園報導】學生學習發展組上週公布5項學業成績進步獎勵方案，鼓勵學生提升學習意願、籌組學習社群，以學業成績、進步幅度為評選項目，協助學生達成學業成就，申請自即日起開跑。
</w:t>
          <w:br/>
          <w:t>　學發組推出本學期「個人精進」、「同舟共濟」、「自我預期」、「曙光之星」學業成績進步獎，以及「步步高升」學業成績學習進步獎；其中，曙光之星是為延續教育部優先區計畫的精神，針對校內弱勢學生提供專屬的學業成績進步獎，期以提升課輔弱勢和一般弱勢學生的學業成就。此外，為了嘉勉持續申請進步獎，鼓勵未曾獲得個人精進、同舟共濟或自我預期3類進步獎獎勵的大學部學生，設置「步步高升」學習進步獎。
</w:t>
          <w:br/>
          <w:t>　各項獎勵方案的申請資格、獎勵方式及成績進步幅度計算方式，可至學發組網站（網址：http://spirit.tku.edu.tw/tku/main.jsp?sectionId=10）查詢。　</w:t>
          <w:br/>
        </w:r>
      </w:r>
    </w:p>
  </w:body>
</w:document>
</file>