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661fb9f3049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榮譽學程培育創新人才 加入修讀提升職場含金量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（文／張瑟玉 整理、資料來源／教務處）
</w:t>
          <w:br/>
          <w:t>想要在學位證書上註記「榮譽學生」字樣嗎？快來了解「榮譽學程」。
</w:t>
          <w:br/>
          <w:t>學程特色　菁英領袖搖籃
</w:t>
          <w:br/>
          <w:t>　本校為培育大學日間部優秀學生，成為具專業創新與獨立研究能力的學術人才，以及強化職場競爭力，自101學年度起開設「淡江大學榮譽學程」，由各領域專業教師授課或邀請外界頂尖業師來校開講，共同打造具「學用合一」課程。
</w:t>
          <w:br/>
          <w:t>　實施至今有8年，累計有7,864人次申請修讀，獲證人數有208人，學程課程結合本校「三環五育」的教育理念，期待修讀學生能在跨學院及系所進階專業課程的培育下，成為具全球視野、關懷社會、創新思考及領導統御等競爭力的菁英人才。
</w:t>
          <w:br/>
          <w:t>課程規劃　拓展學習視野
</w:t>
          <w:br/>
          <w:t>　修課程結合本校「三環五育」的教育理念，分為「進階專業課程」、「通識教育課程」及「課外活動課程」3大主軸；其中「進階專業課程」主要提升專業素養，由各學院規劃合宜之專業課程，且採行小班聚焦式、研討式或探究式的專題課程，引導學生學術興趣及發展適合的專業研究領域。
</w:t>
          <w:br/>
          <w:t>　「通識教育課程」是讓修讀學生具全球視野、反省現狀及關懷社會人群能力所設計的，內容涵括各學院專業系所學習的基礎，藉由充分的對談及討論，增進學生對不同領域知識的理解，同時提升思考層次，為更高深的專業研究奠定基礎。
</w:t>
          <w:br/>
          <w:t>　「課外活動課程」是培養具創意與溝通、領導與服務能力所設計的，課程規劃為從「個人」到「團體」，藉由做中學、錯中學、覺中學的課外活動團隊體驗式學習，鍛鍊具備結合專業與通識的軟實力素養，讓學生了解業界如何將創意溝通融入工作，更使學生認知團隊合作、領導及服務學習的重要。
</w:t>
          <w:br/>
          <w:t>　此外，本學程已於108學年度第二學期先行試辦兩場「淡江菁英會－榮譽學程講座分享」，此內容將融入榮譽學程現有的「創意與溝通」及「團隊領導與服務」兩門課程中，並由黃文智老師協同菁英校友會共同安排講座分享，凡曾修習榮譽學程課程及符合修習資格之學生皆可自由參加，講座相關資訊將於每學期排定後另函公告。
</w:t>
          <w:br/>
          <w:t>加值效益　打造自豪的榮譽學位
</w:t>
          <w:br/>
          <w:t>　修讀榮譽學程之學生須於主修學系修業年限內修畢所有應修課程，且成績及格並符合畢業資格者，始可取得榮譽學程之學程證書，其修習通過之科目，除於歷年成績單上註明，亦將於學位證書註記「榮譽學生」字樣。
</w:t>
          <w:br/>
          <w:t>　凡修讀榮譽學程的應屆畢業生或持有本學程證書者，參加本校碩士班甄試，可檢附相關證明以為有利審查之資料，酌予加分；如錄取本校碩士班，就讀第一學年每一學期發給3萬元獎學金。
</w:t>
          <w:br/>
          <w:t>申請學程　主動出擊增強競爭力
</w:t>
          <w:br/>
          <w:t>　個人申請入學新生甄選總成績、考試入學新生入學成績（指考成績加權總分）位於該系（組）前10%以內者，以及大一下學期至大三下學期（建築系大四下學期）學生前學期修課學分數達12學分以上、學業平均成績位於該班前10%以內者，得於每學期開學前提出申請，經教務處審核通過後，取得修讀本學程之資格。是不是對學程更感興趣了呢？歡迎加入「榮譽學生」行列！詳情見本校榮譽學程網站（honor.tku.edu.tw/course.aspx）查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fc042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8/m\89d0c23b-0c1d-4759-a3cb-b2332895ca0b.jpg"/>
                      <pic:cNvPicPr/>
                    </pic:nvPicPr>
                    <pic:blipFill>
                      <a:blip xmlns:r="http://schemas.openxmlformats.org/officeDocument/2006/relationships" r:embed="Ra30b8b852a3046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194048" cy="4194048"/>
              <wp:effectExtent l="0" t="0" r="0" b="0"/>
              <wp:docPr id="1" name="IMG_120b6a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8/m\cf4e6897-5c96-4a9b-9814-06aa30f79adc.jpg"/>
                      <pic:cNvPicPr/>
                    </pic:nvPicPr>
                    <pic:blipFill>
                      <a:blip xmlns:r="http://schemas.openxmlformats.org/officeDocument/2006/relationships" r:embed="R4c75d0bca8764d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4048" cy="4194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0b8b852a3046da" /><Relationship Type="http://schemas.openxmlformats.org/officeDocument/2006/relationships/image" Target="/media/image2.bin" Id="R4c75d0bca8764d9e" /></Relationships>
</file>