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5b0de4deb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109學年度新任主管專訪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現代高教發展，本校於109學年度新設立AI創智學院，未來將以該學院為平臺，整合校內資源，以5虛擬學部、4應用平臺、4遠端課程與4實境場域，推動跨領域教學與研究。此外，本校第173次行政會議通過109學年度組織調整，教務處「教師教學發展組」更名「教師教學發展中心」；學生事務處「學生學習發展組」併入「諮商暨職涯輔導組」，並更名「諮商職涯暨學習發展輔導中心」；資訊處「數位設計組」更名為「前瞻技術組」，以符合當前趨勢。本報於1109期進行新任一級主管專訪、1110期進行二級主管介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12a9e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4dbaa18-72b2-42a9-af53-c16e5d900876.jpg"/>
                      <pic:cNvPicPr/>
                    </pic:nvPicPr>
                    <pic:blipFill>
                      <a:blip xmlns:r="http://schemas.openxmlformats.org/officeDocument/2006/relationships" r:embed="R8623917605a3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23917605a34c4c" /></Relationships>
</file>