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d556e7dda4a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六月五日（週二）
</w:t>
          <w:br/>
          <w:t>
</w:t>
          <w:br/>
          <w:t>△文錙藝術中心中午十二時十分在中心一樓播放影片：「琴弦寄情」。（曾暉雯）
</w:t>
          <w:br/>
          <w:t>
</w:t>
          <w:br/>
          <w:t>六月七日（週四）
</w:t>
          <w:br/>
          <w:t>
</w:t>
          <w:br/>
          <w:t>△文錙藝術中心中午十二時十分在中心一樓播放影片：「角色」。（曾暉雯）
</w:t>
          <w:br/>
          <w:t>
</w:t>
          <w:br/>
          <w:t>六月八日（週五）
</w:t>
          <w:br/>
          <w:t>
</w:t>
          <w:br/>
          <w:t>△地球村語言及文化研究中心晚間七時至九時於驚聲T701室發表該中心新出版的論文集「The Power of Differences」，編輯Dr. Reinhard Duessel與Dr. Geert Edel將到場，另外還有在臺灣的三位發表者：游淙祺教授、銘傳老師Dr. David Cornberg與臺大老師Dr. Suitbert Oberreiter。（沈秀珍）</w:t>
          <w:br/>
        </w:r>
      </w:r>
    </w:p>
  </w:body>
</w:document>
</file>