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b72d003cb4f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 淡江展翼國際 企業最愛永續未來-線上連結 寄語展翼人／董事長張家宜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聚集校友力量捐資建造實體的守謙國際會議中心接軌國際；與台灣微軟公司簽訂AI雲端戰略結盟，整合校內資源成立AI創智學院；打造臺灣第一所全雲端智慧校園，為培育產業數位人才奠基。「淡江第五波」在實虛之間，融入國際化、資訊化及未來化的教育理念。
</w:t>
          <w:br/>
          <w:t>　新冠狀病毒（COVID-19）彷彿轉型催化劑，加速全球產業自動化與AI人工智慧的應用。根據世界經濟論壇（WEF）《2021年度全球風險報告》認為降低風險之一是從國際合作與建立夥伴關係著手；《就業前景報告》指出數位服務能克服健康風險與經濟不平等，推估2025年將產生9,700萬個新興就業機會。數位化「工作任務」取代「職缺」分類，未來產業需要軟實力與跨領域專業技能的彈性人才。
</w:t>
          <w:br/>
          <w:t>　1665至1666年倫敦大瘟疫，科學家牛頓（Isaac Newton）被迫停課長達一年，期間發現「光學、微積分、萬有引力定律與三大運動定律」。歷史印證傳染病毒侵襲，雖按下環境、經濟、教育及社會層面的暫停鍵，卻打開人類運用敏捷方法，重構生活型態，積極迎戰的啟動鈕。
</w:t>
          <w:br/>
          <w:t>　淡江以三環五育及八大基本素養塑造同學全球視角、數位能力及遠見思維，在職場探索過程，請各位畢業生以「承先啟後，塑造社會新文化，培育卓越心靈」的智識判別，轉變當下跌宕起伏，洞悉國際趨勢，善用科技廣度，職涯布局，斜槓思維，精準創新，永續成長，創造獨特的智慧未來。</w:t>
          <w:br/>
        </w:r>
      </w:r>
    </w:p>
  </w:body>
</w:document>
</file>