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45c0ac3fe2b4139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1135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期末教學評量開跑 歡迎踴躍填答抽獎金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靖諺淡水校園報導】本學期「期末教學意見調查」開跑囉！品質保證稽核處針對教師教學進行問卷調查，即日起至111年1月10日上午10時止。可從本校網站首頁點選「教學意見調查」（網址：https://tas.in.tku.edu.tw/ ）或手機掃描QR-Code進入，填寫內容彙整後將作為任課教師改進教學之參考（不含任何學生個人資料）。前學期各院學生填答率平均為62.07%，其中以國際事務學院填答率平均76.56%最高，其次為商管學院平均70.69%。為鼓勵學生填答，凡填完問卷者可參加200元現金抽獎（共100名），歡迎踴躍上網填寫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902208" cy="920496"/>
              <wp:effectExtent l="0" t="0" r="0" b="0"/>
              <wp:docPr id="1" name="IMG_73c43519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1-12/m\3e8306dd-3140-435c-a8c4-fda22e3e4573.JPG"/>
                      <pic:cNvPicPr/>
                    </pic:nvPicPr>
                    <pic:blipFill>
                      <a:blip xmlns:r="http://schemas.openxmlformats.org/officeDocument/2006/relationships" r:embed="R6e825e43a28540b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902208" cy="920496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6e825e43a28540b7" /></Relationships>
</file>