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bf7b7fc2d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如何應用NFT？ 謝昀澤說明虛擬資產未來密碼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經濟系主任林彥伶5月13日上午11時邀請安侯企管公司數位安全顧問服務部營運長謝昀澤，主講「元宇宙之下虛擬資產的未來密碼」，介紹加密資產的類型和市場性、非同質化代幣（Non-Fungible Token,  NFT）造成的影響和應用案例，共逾60人於MS Teams一同參與。
</w:t>
          <w:br/>
          <w:t>謝昀澤首先說明加密資產之定義，依據不同有價資產而發產出不同之權利樣態，包含支付型代幣、功能型代幣、證券行代幣，透過密碼學、區塊鏈與分帳式帳本等技術，建構出有別於傳統的虛擬商品型態。對於投資者而言，加密資產具備投資門檻低、多樣性、可攜性等特性，並達到資產或貨幣的防偽、防弊與安全交易，維持交易功能。
</w:t>
          <w:br/>
          <w:t>針對NFT所帶來的商業效益，他指出，商品NFT化後可以增加價值儲存、傳遞，提升投資意涵，如藝術創作、遊戲、認證需求等相關產業，相當適合應用NFT，然而比特幣、NFT這樣的「另類資產」，缺乏對價值的信任和行業規模化，在傳統資本市場裡無法當作交易媒介，更不能視為一種可儲存價值的資產，必須進行制度化。
</w:t>
          <w:br/>
          <w:t>浮誇的虛擬商品護不會有一天泡沫化？謝昀澤說，科技的應用創新、數位化趨勢仍存在，在轉變歷程中的風險與危機，都可能是企業轉型的商機，勉勵大家該學習的是其中的發展過程、設計思路和法律規範。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f02f2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b3aff3a-ff9e-4d6c-baa0-e18236a933eb.jpg"/>
                      <pic:cNvPicPr/>
                    </pic:nvPicPr>
                    <pic:blipFill>
                      <a:blip xmlns:r="http://schemas.openxmlformats.org/officeDocument/2006/relationships" r:embed="R58fe9215a71648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49424" cy="4876800"/>
              <wp:effectExtent l="0" t="0" r="0" b="0"/>
              <wp:docPr id="1" name="IMG_4f597d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cb1e718-de00-4b0e-a00a-7a97183cd1c8.jpg"/>
                      <pic:cNvPicPr/>
                    </pic:nvPicPr>
                    <pic:blipFill>
                      <a:blip xmlns:r="http://schemas.openxmlformats.org/officeDocument/2006/relationships" r:embed="Rc6d890b69f0d4d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94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fe9215a7164830" /><Relationship Type="http://schemas.openxmlformats.org/officeDocument/2006/relationships/image" Target="/media/image2.bin" Id="Rc6d890b69f0d4d14" /></Relationships>
</file>