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66533fc4b44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生輔組智財產講座 楊敏玲談校園著作權與合理使用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【記者林曉薇淡水校園報導】生活輔導組於5月16日上午8時10分在B507舉辦智慧財產權講座，邀請中國石油化學工業開發股份有限公司律師楊敏玲主講「校園著作權與合理使用」，近百位學生以MS Teams參與。
</w:t>
          <w:br/>
          <w:t>楊敏玲首先說明著作是屬於文學、科學、藝術或其他學術範圍之創作，著作權的種類包括語文著作、音樂著作、戲劇舞蹈著作、美術著作、圖形著作、視聽著作、錄音著作、建築著作、電腦程式著作及衍生著作等。緊接著，她透過圖片告訴同學哪些內容有著作權，並且舉例說明生活中常會遇到的事，如網路上的文章或影片、建築設計、舞蹈等都會涉及著作權，若侵犯到原著作品，將會受到法律責任。
</w:t>
          <w:br/>
          <w:t>楊敏玲表示，只要合理使用，就不會觸犯到著作權，例如清楚標註引用來源、留意使用原著作頁數的比例要在規定的範圍內。另外，她也提到，學生在合理使用時應注意事項，如重製卡通人物是否能練習使用，若只供個人練習而非營利用途是可以的，如果後續有其他營利、商業行為或上傳網路的話，就必須取得著作財產權人的同意或授權才可以。若學生需要使用圖書館、博物館、歷史館等文教機構的資料，應該要先確認該館提供個人研究的規定，重製已公開發表的研討會論文集之單篇著作，每人以一份為限。最後，楊敏玲勉勵大家：「智慧是打開世界的鑰匙，希望同學們在學校可以求得許多寶貴的知識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38272"/>
              <wp:effectExtent l="0" t="0" r="0" b="0"/>
              <wp:docPr id="1" name="IMG_8053e6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f45899aa-6fdb-4ff9-952c-6ab790d28643.jpg"/>
                      <pic:cNvPicPr/>
                    </pic:nvPicPr>
                    <pic:blipFill>
                      <a:blip xmlns:r="http://schemas.openxmlformats.org/officeDocument/2006/relationships" r:embed="R7649a5917d2b41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38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49a5917d2b4189" /></Relationships>
</file>