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95df14a41d46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TKU's promotion of sustainability has been recognized again and won the 2022 Asia Pacific Sustainability Action Gold Award</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school’s efforts to promote sustainability have been affirmed again. Following last year’s recognition of 4 awards from the TCSA Taiwan Enterprise Sustainability Award and the TSAA Taiwan Sustainability Action Award, this year has taken a step up and won the first APSAA Asia Pacific Sustainability Action Gold Award. 4 teachers at the same time Received 1 silver and 3 bronzes in the 2nd TSAA Taiwan Sustainability Action Award. President Keh Huan-Chao attended the award ceremony on August 12 at the World Trade Center and received the award.
</w:t>
          <w:br/>
          <w:t>The Asia-Pacific and Taiwan Sustainability Action Award is hosted by the Taiwan Institute for Sustainability. The award ceremony had held in conjunction with the first "Asia-Pacific Sustainability Expo and Summit", and the sustainable achievements was exchanged with the international community. A total of 41 companies participated in the Asia-Pacific Sustainability Award this year, with a total number of 63 entries; a total of 136 companies participated in the Taiwan Sustainability Award, with a total of 247 entries, and were selected by a jury composed of 69 experts, scholars and social leaders. Afterwards, 44 Asia-Pacific Sustainability Action Awards and 200 Taiwan Sustainability Awards were selected.
</w:t>
          <w:br/>
          <w:t>Our school won the Asia-Pacific Sustainable Action Gold Award for its "Reducing Carbon Emissions, Revitalizing Environmental Sustainability" program. In response to the Paris Climate Agreement and the United Nations Sustainable Development Goals (SDGs), our school has set an annual goal of reducing greenhouse gas emissions by 1%. Commitment to reach net zero carbon emissions by 2050. In order to realize this commitment, the school has invested in large-scale actions to comprehensively improve energy efficiency, manage water resources well, and mobilize all teachers and students of the school to combine the strength of local and community to jointly practice the action of activating environmental sustainability.
</w:t>
          <w:br/>
          <w:t>The school takes "AI+SDGs=∞" as the development direction of school in 112-116. SDGs and the concept of global citizenship are integrated into teaching, research and school affairs development, integrating local, international, wisdom, future and other elements, and properly using AI big Data, network and cloud technology, and refine related courses; also signed an MOU with Far EasTone Telecom to jointly create a "5G Metaverse Net-Zero Carbon Emission Campus", and will continue to upgrade the campus environment, teaching content, and school administration efficiency in the future, firmly moving towards the pledge to reach net-zero carbon emissions by 2050.
</w:t>
          <w:br/>
          <w:t>In the Taiwan Sustainability Action Award, Lin Sinncheng, a professor of the Department of Information and Graphics, won the silver award in the "SDG9 Industry, Innovation and Infrastructure Construction" for "Sustainable Digital Preservation of Local Memories ". Professor Lee Chilin's "A Culinary Exploration: The Sino French-War at Hobe" and Professor Niu Hanjen's "Relational Demography Cultivation Initiative  Building an Educational Base for Sustainable Agriculture" won the "SDG4 Education Quality" " Bronze Award, and Professor Lin Yenling's "A Visionary Career Empowerment Program" won the "SDG8 Employment and Economic Growth Bronze Award".</w:t>
          <w:br/>
        </w:r>
      </w:r>
    </w:p>
    <w:p>
      <w:pPr>
        <w:jc w:val="center"/>
      </w:pPr>
      <w:r>
        <w:r>
          <w:drawing>
            <wp:inline xmlns:wp14="http://schemas.microsoft.com/office/word/2010/wordprocessingDrawing" xmlns:wp="http://schemas.openxmlformats.org/drawingml/2006/wordprocessingDrawing" distT="0" distB="0" distL="0" distR="0" wp14:editId="50D07946">
              <wp:extent cx="4876800" cy="3261360"/>
              <wp:effectExtent l="0" t="0" r="0" b="0"/>
              <wp:docPr id="1" name="IMG_f1fcc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8/m\c3aee7f3-6e97-4cbd-9abb-f54d40ee3820.jpg"/>
                      <pic:cNvPicPr/>
                    </pic:nvPicPr>
                    <pic:blipFill>
                      <a:blip xmlns:r="http://schemas.openxmlformats.org/officeDocument/2006/relationships" r:embed="Rf4cb0d32e269419e" cstate="print">
                        <a:extLst>
                          <a:ext uri="{28A0092B-C50C-407E-A947-70E740481C1C}"/>
                        </a:extLst>
                      </a:blip>
                      <a:stretch>
                        <a:fillRect/>
                      </a:stretch>
                    </pic:blipFill>
                    <pic:spPr>
                      <a:xfrm>
                        <a:off x="0" y="0"/>
                        <a:ext cx="4876800" cy="32613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cb0d32e269419e" /></Relationships>
</file>