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103e5b2724b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111學年度新任主管專訪-引言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111學年度新任主管中，本校董事會於第十三屆第9次會議遴選新任校長，決議通過續聘葛煥昭博士為本校第十三任校長，已報請教育部核准。此次，學術副校長許輝煌、行政副校長暨蘭陽副校長林俊宏、國際事務副校長陳小雀與一級單位主管7位與二級單位主管21位異動，本報特以1147及1148期介紹新任主管。
</w:t>
          <w:br/>
          <w:t>本校111學年度起國際事務學院進行部分組織整併：原歐洲研究所及中國大陸研究所整併至外交與國際關係學系，原拉丁美洲研究所及日本政經研究所整併至全球政治經濟學系，另工學院人工智慧學系改隸至AI創智學院。永續發展與社會創新中心除原有的社會實踐策略組外，新增淨零碳排推動組及韌性治理規劃組。原國際事務學院歐盟研究中心改隸研究發展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9ec714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cdc4cf0a-4f13-4537-97c7-8eee7f2057cb.jpg"/>
                      <pic:cNvPicPr/>
                    </pic:nvPicPr>
                    <pic:blipFill>
                      <a:blip xmlns:r="http://schemas.openxmlformats.org/officeDocument/2006/relationships" r:embed="R60fcbbfc045041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fcbbfc0450417f" /></Relationships>
</file>