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288a5f0d1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AIGO解題賽 師生5團隊獲4優等3佳作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資訊工程學系與人工智慧學系組隊參加111年度經濟部工業局「產業實戰應用人才淬煉計畫」人才解題競賽（AIGO），於229案（隊次）提出構想提案的解題團隊中，脫穎而出。5團隊提出7案獲入圍，搶題成功，解題階段，每案獲30萬元，共210萬元，三個月後，解題成果競賽，再獲4優等3佳作，共7獎項（詳列表）。獲獎率百分百，總獎金達180萬元，為參賽四年來最亮眼成績，10月27日於松山文創園區受獎。
</w:t>
          <w:br/>
          <w:t>5團隊分別由本校資工系、AI系聘特聘教授張志勇（團隊：AI因由夫來）、AI系教授游國忠（馬訓冷凝）、機械系、AI系教授王銀添（葛林的AI）、AI系助理教授温育瑋，及台北商業大學資訊與決策科學研究所教授兼所長廖文華（AI捍將）、銘傳大學資訊工程學系教授蘇民揚（簡單最佳化）帶領本校學生，包括資工系、AI系、電機系、機械系博班、碩班、大學部學生共30位。3月組隊，6月中旬公告入圍，7到10月與企業進行可行性方案討論，看似七個月的團隊合作，其實是超過十年的耕耘成果。「我們已經準備好了。」張志勇表示，本校發展AI的策略訂得早，所以起步早，加上跨校、跨域合作，學生一進來沒有暑假，就分配師徒制進行培訓，五個團隊每週開會，一起作研究，等企業出題就馬上動作。他認為我們能贏得過許多新創企業的關鍵在於，師生目標一致，為了學生學習、學校榮譽，不計時間、人力成本的投入再投入，他得意的說：「這就是我們的優勢。」
</w:t>
          <w:br/>
          <w:t>目前出題企業興誠服務管理有限公司將與人工智慧學系於11月3日簽署產學合作備忘錄。此外，台南企業股份有限公司、愛爾達科技股份有限公司、社團法人台灣手語翻譯協會、國巨律師事務所皆就本次研發成果，繼續與本校團隊進行合作。
</w:t>
          <w:br/>
          <w:t>張志勇表示，今年首次嘗試「電腦視覺」，即有4隊獲佳績，結果令人振奮，顯示出本校跨域發展實力。他以「利用AI自動判斷野手撲接鏡頭」提案為例，雖然歸為「電腦視覺」類，但團隊不僅是判別影片上的動作（電腦視覺），還會加上電視字幕上主播的話語（自然語言、數據分析）來分析，「這就是我們提案能成功的關鍵。」
</w:t>
          <w:br/>
          <w:t>6月公布入圍隊名後，進入最後實證階段，評選重點指標為產業題目的解決程度（40％）、AI 技術應用成熟度（35%）、商業應用價值與創新亮點（25％），及其他加分項目。評選總分以「特優」、「優等」及「佳作」劃分三等第核發獎金，獎金分別為特優新台幣40萬元、優等新台幣30萬元，及佳作新台幣20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475e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6d15ecc-5b2c-400d-950e-4df5ec8f177c.jpg"/>
                      <pic:cNvPicPr/>
                    </pic:nvPicPr>
                    <pic:blipFill>
                      <a:blip xmlns:r="http://schemas.openxmlformats.org/officeDocument/2006/relationships" r:embed="R5c482ad4655d45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62e8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1fa5b16-8d6c-4a1c-95ba-3e36987ac10c.jpg"/>
                      <pic:cNvPicPr/>
                    </pic:nvPicPr>
                    <pic:blipFill>
                      <a:blip xmlns:r="http://schemas.openxmlformats.org/officeDocument/2006/relationships" r:embed="R29d3e32f770d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19a3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8a7eb66-6c1a-4794-9589-86233a2fa240.jpg"/>
                      <pic:cNvPicPr/>
                    </pic:nvPicPr>
                    <pic:blipFill>
                      <a:blip xmlns:r="http://schemas.openxmlformats.org/officeDocument/2006/relationships" r:embed="Rf0f92b42f23e42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2816"/>
              <wp:effectExtent l="0" t="0" r="0" b="0"/>
              <wp:docPr id="1" name="IMG_002dba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2bf75f7-1798-4aea-820e-d2b4652dc9b4.jpg"/>
                      <pic:cNvPicPr/>
                    </pic:nvPicPr>
                    <pic:blipFill>
                      <a:blip xmlns:r="http://schemas.openxmlformats.org/officeDocument/2006/relationships" r:embed="R391ebd4c15b048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482ad4655d456e" /><Relationship Type="http://schemas.openxmlformats.org/officeDocument/2006/relationships/image" Target="/media/image2.bin" Id="R29d3e32f770d4e35" /><Relationship Type="http://schemas.openxmlformats.org/officeDocument/2006/relationships/image" Target="/media/image3.bin" Id="Rf0f92b42f23e4204" /><Relationship Type="http://schemas.openxmlformats.org/officeDocument/2006/relationships/image" Target="/media/image4.bin" Id="R391ebd4c15b04874" /></Relationships>
</file>