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3603f77ee4f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四月十六日（週一）
</w:t>
          <w:br/>
          <w:t>△化學系下午二時在化中正，邀請清大教授游靜惠主講：生物活性系統的氫鍵網路之理論模擬。（李光第）
</w:t>
          <w:br/>
          <w:t>△財金系晚上七時在D408室，邀請中國信託執行副總鍾隆吉主講：公營事業民營化釋股──以中華電信為例。
</w:t>
          <w:br/>
          <w:t>
</w:t>
          <w:br/>
          <w:t>四月十七日（週二）
</w:t>
          <w:br/>
          <w:t>△數學系下午三時三十分在S433室，邀請清大全任重教授演講：僅使用圓規可以畫出什麼圖？（毛雨涵）
</w:t>
          <w:br/>
          <w:t>
</w:t>
          <w:br/>
          <w:t>四月十九日（週四）
</w:t>
          <w:br/>
          <w:t>△大陸所下午一時在T601室，邀請普林斯頓大學中國學社主席蘇紹智主講「中國對於全球化的反應」。（趙浩均）
</w:t>
          <w:br/>
          <w:t>
</w:t>
          <w:br/>
          <w:t>四月二十日（週五）
</w:t>
          <w:br/>
          <w:t>△產經系下午二時十分於B1012室邀請政大教授莊奕琦主講：如何衡量人力資本：以台灣為例。（李世清）
</w:t>
          <w:br/>
          <w:t>△國際學院上午十時在T701室邀請監察院長錢復談「從留美讀書到外交工作，我的學習，我的經驗」。</w:t>
          <w:br/>
        </w:r>
      </w:r>
    </w:p>
  </w:body>
</w:document>
</file>